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A3E" w:rsidRDefault="00305A3E" w:rsidP="00305A3E">
      <w:pPr>
        <w:pStyle w:val="StandardWeb"/>
        <w:spacing w:before="0" w:beforeAutospacing="0" w:after="135" w:afterAutospacing="0"/>
        <w:jc w:val="center"/>
        <w:rPr>
          <w:rFonts w:ascii="Arial" w:hAnsi="Arial" w:cs="Arial"/>
          <w:color w:val="414145"/>
          <w:sz w:val="21"/>
          <w:szCs w:val="21"/>
        </w:rPr>
      </w:pPr>
      <w:r>
        <w:rPr>
          <w:rFonts w:ascii="Arial" w:hAnsi="Arial" w:cs="Arial"/>
          <w:color w:val="414145"/>
          <w:sz w:val="21"/>
          <w:szCs w:val="21"/>
        </w:rPr>
        <w:t>Obrazovanje prema posebnim propisima</w:t>
      </w:r>
    </w:p>
    <w:p w:rsidR="00305A3E" w:rsidRDefault="00305A3E" w:rsidP="00305A3E">
      <w:pPr>
        <w:pStyle w:val="StandardWeb"/>
        <w:spacing w:before="0" w:beforeAutospacing="0" w:after="135" w:afterAutospacing="0"/>
        <w:jc w:val="center"/>
        <w:rPr>
          <w:rFonts w:ascii="Arial" w:hAnsi="Arial" w:cs="Arial"/>
          <w:color w:val="414145"/>
          <w:sz w:val="21"/>
          <w:szCs w:val="21"/>
        </w:rPr>
      </w:pPr>
      <w:r>
        <w:rPr>
          <w:rFonts w:ascii="Arial" w:hAnsi="Arial" w:cs="Arial"/>
          <w:color w:val="414145"/>
          <w:sz w:val="21"/>
          <w:szCs w:val="21"/>
        </w:rPr>
        <w:t>Članak 82.</w:t>
      </w:r>
    </w:p>
    <w:p w:rsidR="00305A3E" w:rsidRDefault="00305A3E" w:rsidP="00305A3E">
      <w:pPr>
        <w:pStyle w:val="StandardWeb"/>
        <w:spacing w:before="0" w:beforeAutospacing="0" w:after="135" w:afterAutospacing="0"/>
        <w:rPr>
          <w:rFonts w:ascii="Arial" w:hAnsi="Arial" w:cs="Arial"/>
          <w:color w:val="414145"/>
          <w:sz w:val="21"/>
          <w:szCs w:val="21"/>
        </w:rPr>
      </w:pPr>
      <w:r>
        <w:rPr>
          <w:rFonts w:ascii="Arial" w:hAnsi="Arial" w:cs="Arial"/>
          <w:color w:val="414145"/>
          <w:sz w:val="21"/>
          <w:szCs w:val="21"/>
        </w:rPr>
        <w:t>(1) Sportaš može ostvariti pravo na posebne uvjete pohađanja i završetka osnovnog obrazovanja te pohađanja i završetka srednjoškolskog obrazovanja, a visokog obrazovanja samo ako to nije protivno načelima autonomije sveučilišta za kategorizirane sportaše i akademske samouprave vezano uz upis i pravila studiranja.</w:t>
      </w:r>
    </w:p>
    <w:p w:rsidR="00305A3E" w:rsidRDefault="00305A3E" w:rsidP="00305A3E">
      <w:pPr>
        <w:pStyle w:val="StandardWeb"/>
        <w:spacing w:before="0" w:beforeAutospacing="0" w:after="135" w:afterAutospacing="0"/>
        <w:rPr>
          <w:rFonts w:ascii="Arial" w:hAnsi="Arial" w:cs="Arial"/>
          <w:color w:val="414145"/>
          <w:sz w:val="21"/>
          <w:szCs w:val="21"/>
        </w:rPr>
      </w:pPr>
      <w:r>
        <w:rPr>
          <w:rFonts w:ascii="Arial" w:hAnsi="Arial" w:cs="Arial"/>
          <w:color w:val="414145"/>
          <w:sz w:val="21"/>
          <w:szCs w:val="21"/>
        </w:rPr>
        <w:t>(2) Sportaš u dobi do 12 godina koji ne ostvaruje pravo na kategorizaciju sukladno pravilniku iz članka 14. stavka 14. ovoga Zakona, na temelju potvrde nadležnog nacionalnog sportskog saveza i uz prethodnu suglasnost tijela državne uprave nadležnog za sport, može pohađati osnovno obrazovanje sukladno uvjetima propisanim pravilnikom iz stavka 4. ovoga članka.</w:t>
      </w:r>
    </w:p>
    <w:p w:rsidR="00305A3E" w:rsidRDefault="00305A3E" w:rsidP="00305A3E">
      <w:pPr>
        <w:pStyle w:val="StandardWeb"/>
        <w:spacing w:before="0" w:beforeAutospacing="0" w:after="135" w:afterAutospacing="0"/>
        <w:rPr>
          <w:rFonts w:ascii="Arial" w:hAnsi="Arial" w:cs="Arial"/>
          <w:color w:val="414145"/>
          <w:sz w:val="21"/>
          <w:szCs w:val="21"/>
        </w:rPr>
      </w:pPr>
      <w:r>
        <w:rPr>
          <w:rFonts w:ascii="Arial" w:hAnsi="Arial" w:cs="Arial"/>
          <w:color w:val="414145"/>
          <w:sz w:val="21"/>
          <w:szCs w:val="21"/>
        </w:rPr>
        <w:t>(3) Potvrda iz stavka 2. ovoga članka izdaje se za tekuću školsku godinu, uz ispunjenje najmanje dvaju od sljedećih kriterija:</w:t>
      </w:r>
    </w:p>
    <w:p w:rsidR="00305A3E" w:rsidRDefault="00305A3E" w:rsidP="00305A3E">
      <w:pPr>
        <w:pStyle w:val="StandardWeb"/>
        <w:spacing w:before="0" w:beforeAutospacing="0" w:after="135" w:afterAutospacing="0"/>
        <w:rPr>
          <w:rFonts w:ascii="Arial" w:hAnsi="Arial" w:cs="Arial"/>
          <w:color w:val="414145"/>
          <w:sz w:val="21"/>
          <w:szCs w:val="21"/>
        </w:rPr>
      </w:pPr>
      <w:r>
        <w:rPr>
          <w:rFonts w:ascii="Arial" w:hAnsi="Arial" w:cs="Arial"/>
          <w:color w:val="414145"/>
          <w:sz w:val="21"/>
          <w:szCs w:val="21"/>
        </w:rPr>
        <w:t>– sudjelovanje na međunarodnim natjecanjima</w:t>
      </w:r>
    </w:p>
    <w:p w:rsidR="00305A3E" w:rsidRDefault="00305A3E" w:rsidP="00305A3E">
      <w:pPr>
        <w:pStyle w:val="StandardWeb"/>
        <w:spacing w:before="0" w:beforeAutospacing="0" w:after="135" w:afterAutospacing="0"/>
        <w:rPr>
          <w:rFonts w:ascii="Arial" w:hAnsi="Arial" w:cs="Arial"/>
          <w:color w:val="414145"/>
          <w:sz w:val="21"/>
          <w:szCs w:val="21"/>
        </w:rPr>
      </w:pPr>
      <w:r>
        <w:rPr>
          <w:rFonts w:ascii="Arial" w:hAnsi="Arial" w:cs="Arial"/>
          <w:color w:val="414145"/>
          <w:sz w:val="21"/>
          <w:szCs w:val="21"/>
        </w:rPr>
        <w:t>– ostvareni rezultat od 1. do 10. mjesta na natjecanjima na nacionalnoj razini</w:t>
      </w:r>
    </w:p>
    <w:p w:rsidR="00305A3E" w:rsidRDefault="00305A3E" w:rsidP="00305A3E">
      <w:pPr>
        <w:pStyle w:val="StandardWeb"/>
        <w:spacing w:before="0" w:beforeAutospacing="0" w:after="135" w:afterAutospacing="0"/>
        <w:rPr>
          <w:rFonts w:ascii="Arial" w:hAnsi="Arial" w:cs="Arial"/>
          <w:color w:val="414145"/>
          <w:sz w:val="21"/>
          <w:szCs w:val="21"/>
        </w:rPr>
      </w:pPr>
      <w:r>
        <w:rPr>
          <w:rFonts w:ascii="Arial" w:hAnsi="Arial" w:cs="Arial"/>
          <w:color w:val="414145"/>
          <w:sz w:val="21"/>
          <w:szCs w:val="21"/>
        </w:rPr>
        <w:t>– redoviti trening najmanje jedan sat dnevno najmanje četiri puta u tjednu.</w:t>
      </w:r>
    </w:p>
    <w:p w:rsidR="00305A3E" w:rsidRDefault="00305A3E" w:rsidP="00305A3E">
      <w:pPr>
        <w:pStyle w:val="StandardWeb"/>
        <w:spacing w:before="0" w:beforeAutospacing="0" w:after="135" w:afterAutospacing="0"/>
        <w:rPr>
          <w:rFonts w:ascii="Arial" w:hAnsi="Arial" w:cs="Arial"/>
          <w:color w:val="414145"/>
          <w:sz w:val="21"/>
          <w:szCs w:val="21"/>
        </w:rPr>
      </w:pPr>
      <w:r>
        <w:rPr>
          <w:rFonts w:ascii="Arial" w:hAnsi="Arial" w:cs="Arial"/>
          <w:color w:val="414145"/>
          <w:sz w:val="21"/>
          <w:szCs w:val="21"/>
        </w:rPr>
        <w:t>(4) Način pohađanja i završetka obrazovanja pravilnikom propisuje čelnik tijela državne uprave nadležne za sport, uz prethodnu suglasnost čelnika tijela državne uprave nadležnog za obrazovanje.</w:t>
      </w:r>
    </w:p>
    <w:p w:rsidR="00305A3E" w:rsidRDefault="00305A3E" w:rsidP="00305A3E">
      <w:pPr>
        <w:pStyle w:val="StandardWeb"/>
        <w:spacing w:before="0" w:beforeAutospacing="0" w:after="135" w:afterAutospacing="0"/>
        <w:rPr>
          <w:rFonts w:ascii="Arial" w:hAnsi="Arial" w:cs="Arial"/>
          <w:color w:val="414145"/>
          <w:sz w:val="21"/>
          <w:szCs w:val="21"/>
        </w:rPr>
      </w:pPr>
      <w:hyperlink r:id="rId5" w:history="1">
        <w:r>
          <w:rPr>
            <w:rStyle w:val="Hiperveza"/>
            <w:rFonts w:ascii="Arial" w:hAnsi="Arial" w:cs="Arial"/>
            <w:b/>
            <w:bCs/>
            <w:color w:val="497FD7"/>
            <w:sz w:val="21"/>
            <w:szCs w:val="21"/>
            <w:u w:val="none"/>
          </w:rPr>
          <w:t>8. Pravilnik o načinu pohađanja i završetka obrazovanja sportaša</w:t>
        </w:r>
      </w:hyperlink>
    </w:p>
    <w:p w:rsidR="00277773" w:rsidRDefault="00277773">
      <w:bookmarkStart w:id="0" w:name="_GoBack"/>
      <w:bookmarkEnd w:id="0"/>
    </w:p>
    <w:sectPr w:rsidR="00277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A3E"/>
    <w:rsid w:val="00277773"/>
    <w:rsid w:val="0030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05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305A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05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305A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zakon.hr/cms.htm?id=89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2015-14</dc:creator>
  <cp:lastModifiedBy>2015-14</cp:lastModifiedBy>
  <cp:revision>1</cp:revision>
  <cp:lastPrinted>2023-09-29T09:06:00Z</cp:lastPrinted>
  <dcterms:created xsi:type="dcterms:W3CDTF">2023-09-29T09:05:00Z</dcterms:created>
  <dcterms:modified xsi:type="dcterms:W3CDTF">2023-09-29T09:13:00Z</dcterms:modified>
</cp:coreProperties>
</file>